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9D" w:rsidRDefault="00A67B9D" w:rsidP="002B74AF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B9D" w:rsidRDefault="00A67B9D" w:rsidP="002B74AF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4AF" w:rsidRDefault="002B74AF" w:rsidP="002B74AF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Kirkkohallituksen kirje 1/2014 kirkolliskokoukselle</w:t>
      </w:r>
    </w:p>
    <w:p w:rsidR="002B74AF" w:rsidRDefault="002B74AF" w:rsidP="002B74AF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Asianro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2012-00800</w:t>
      </w:r>
      <w:proofErr w:type="gramEnd"/>
    </w:p>
    <w:p w:rsidR="002B74AF" w:rsidRDefault="002B74AF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4AF" w:rsidRDefault="002B74AF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4AF" w:rsidRDefault="002B74AF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4AF" w:rsidRDefault="002B74AF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B9D" w:rsidRDefault="00A67B9D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B9D" w:rsidRDefault="00A67B9D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B32" w:rsidRDefault="002B74AF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ESITYS KESKUSTELUN KÄYMISEKSI KIRKON STRATEGIASTA </w:t>
      </w:r>
      <w:r w:rsidR="00A67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2020 </w:t>
      </w:r>
    </w:p>
    <w:p w:rsidR="00A67B9D" w:rsidRPr="00BA3B32" w:rsidRDefault="00BA3B32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A3B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KOHTAAMISEN KIRKKO</w:t>
      </w:r>
    </w:p>
    <w:p w:rsidR="00A67B9D" w:rsidRDefault="00A67B9D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B9D" w:rsidRPr="00A67B9D" w:rsidRDefault="00A67B9D" w:rsidP="00AC30F0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0F0" w:rsidRDefault="00AC30F0" w:rsidP="00A67B9D">
      <w:pPr>
        <w:tabs>
          <w:tab w:val="left" w:pos="1394"/>
          <w:tab w:val="left" w:pos="2698"/>
          <w:tab w:val="left" w:pos="4002"/>
          <w:tab w:val="left" w:pos="5306"/>
          <w:tab w:val="left" w:pos="6610"/>
          <w:tab w:val="left" w:pos="7914"/>
          <w:tab w:val="left" w:pos="9218"/>
          <w:tab w:val="left" w:pos="10522"/>
          <w:tab w:val="left" w:pos="11826"/>
          <w:tab w:val="left" w:pos="13130"/>
          <w:tab w:val="left" w:pos="14434"/>
          <w:tab w:val="left" w:pos="15738"/>
          <w:tab w:val="left" w:pos="17042"/>
          <w:tab w:val="left" w:pos="18346"/>
          <w:tab w:val="left" w:pos="19650"/>
          <w:tab w:val="left" w:pos="20954"/>
          <w:tab w:val="left" w:pos="22258"/>
          <w:tab w:val="left" w:pos="23562"/>
          <w:tab w:val="left" w:pos="24866"/>
          <w:tab w:val="left" w:pos="26170"/>
        </w:tabs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Kirkkohallituksen täysistunto perusti 20.11.2012 Kirkon strategia 2020 -työryhmän valmistelemaan 31.1.2014 mennessä kirkkohallitukselle esityksen kirkon yhteiseksi strategiaksi vuoteen 2020. Työryhmään nimettiin puheenjohtajaksi piispa Tapio Luoma ja jäseniksi konsernijohtaja Jukka Alho, vt. kirkkoherra Ann-Mari Audas-Willman, ekonomisti Signe Jauhiainen, raamattukouluttaja Eero Junkkaala, pääsihteeri Katri Korolainen, kärkihankekoordinaattori Jussi Laine, hiippakuntadekaani Niilo Pesonen ja tiedottaja Kaisa Rönkä, kirkkohallituksen täysistunnon edustajana Riitta Alaja sekä sihteeriksi pastori, teologian maisteri Timo-Matti Haapiainen.</w:t>
      </w: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1EA" w:rsidRDefault="00F821EA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Toi</w:t>
      </w:r>
      <w:r w:rsidR="00D540C5">
        <w:rPr>
          <w:rFonts w:ascii="Times New Roman" w:hAnsi="Times New Roman" w:cs="Times New Roman"/>
          <w:color w:val="000000"/>
          <w:sz w:val="24"/>
          <w:szCs w:val="24"/>
        </w:rPr>
        <w:t>meksiantaja</w:t>
      </w:r>
      <w:r w:rsidR="009D1DF1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kirkkohallituksen täysistunto hyväksyi 1.4.2014 kirkon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 xml:space="preserve"> yhteise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 xml:space="preserve"> strategia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0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Kohtaamisen kirkko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>ja merkitsi tiedoksi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 xml:space="preserve"> sitä taustoittavan ja avaavan mietinnön.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Näin on menetelty myös vuonna 2002, jolloin hyväkyttiin </w:t>
      </w:r>
      <w:r w:rsidRPr="00F821EA">
        <w:rPr>
          <w:rFonts w:ascii="Times New Roman" w:hAnsi="Times New Roman" w:cs="Times New Roman"/>
          <w:i/>
          <w:color w:val="000000"/>
          <w:sz w:val="24"/>
          <w:szCs w:val="24"/>
        </w:rPr>
        <w:t>Läsnäolon kirkko</w:t>
      </w:r>
      <w:r w:rsidR="00D540C5">
        <w:rPr>
          <w:rFonts w:ascii="Times New Roman" w:hAnsi="Times New Roman" w:cs="Times New Roman"/>
          <w:color w:val="000000"/>
          <w:sz w:val="24"/>
          <w:szCs w:val="24"/>
        </w:rPr>
        <w:t xml:space="preserve"> -strategia ja 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 xml:space="preserve">vuonna </w:t>
      </w:r>
      <w:r w:rsidR="00D540C5">
        <w:rPr>
          <w:rFonts w:ascii="Times New Roman" w:hAnsi="Times New Roman" w:cs="Times New Roman"/>
          <w:color w:val="000000"/>
          <w:sz w:val="24"/>
          <w:szCs w:val="24"/>
        </w:rPr>
        <w:t>2008, jolloin hyvä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ksyttiin </w:t>
      </w:r>
      <w:r w:rsidRPr="00F821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Meidän kirkko. </w:t>
      </w:r>
      <w:proofErr w:type="gramStart"/>
      <w:r w:rsidRPr="00F821EA">
        <w:rPr>
          <w:rFonts w:ascii="Times New Roman" w:hAnsi="Times New Roman" w:cs="Times New Roman"/>
          <w:i/>
          <w:color w:val="000000"/>
          <w:sz w:val="24"/>
          <w:szCs w:val="24"/>
        </w:rPr>
        <w:t>Osallisuuden yhteisö</w:t>
      </w:r>
      <w:r w:rsidR="00D540C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strategia.</w:t>
      </w:r>
      <w:proofErr w:type="gramEnd"/>
    </w:p>
    <w:p w:rsidR="00F821EA" w:rsidRDefault="00F821EA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Kohtaamisen kirkko</w:t>
      </w:r>
      <w:r w:rsidR="004B10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syntynyt voimassa olevan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Meidän Kirkko.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Osallisuuden yhteisö</w:t>
      </w:r>
      <w:r w:rsidR="00D540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-strategian pohjalta.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Huomioon on otettu niin strategian toteutuminen kuin toimintaympäristön muutokset. Koko työskentelyprosessin ajan työryhmä keräsi palautetta sosiaalisessa mediassa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4E65" w:rsidRDefault="00C44E65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Strategiassa on keskeistä nimensä mukaisesti kohtaaminen. Kohtaamisella tarkoitetaan tässä strategiassa Jumalan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 xml:space="preserve"> 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>ihmisen kohtaamista, ihmisten välistä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kohtaamista sekä vastuullista suhdetta luomakuntaan. </w:t>
      </w: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Kohtaamisen kirkon </w:t>
      </w:r>
      <w:r>
        <w:rPr>
          <w:rFonts w:ascii="Times New Roman" w:hAnsi="Times New Roman" w:cs="Times New Roman"/>
          <w:color w:val="000000"/>
          <w:sz w:val="24"/>
          <w:szCs w:val="24"/>
        </w:rPr>
        <w:t>perusajatus on jäsen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>lähtöisyys</w:t>
      </w:r>
      <w:r>
        <w:rPr>
          <w:rFonts w:ascii="Times New Roman" w:hAnsi="Times New Roman" w:cs="Times New Roman"/>
          <w:color w:val="000000"/>
          <w:sz w:val="24"/>
          <w:szCs w:val="24"/>
        </w:rPr>
        <w:t>. Työntekijäkeskeisyyden sijaan vahvistetaan seurakunnan jäsenten osallisuutta. Jäsenten vastuuta seurakunnan elämän ja toiminnan toteuttamisessa</w:t>
      </w:r>
      <w:r w:rsidR="00322143">
        <w:rPr>
          <w:rFonts w:ascii="Times New Roman" w:hAnsi="Times New Roman" w:cs="Times New Roman"/>
          <w:color w:val="000000"/>
          <w:sz w:val="24"/>
          <w:szCs w:val="24"/>
        </w:rPr>
        <w:t xml:space="preserve"> halutaan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E65">
        <w:rPr>
          <w:rFonts w:ascii="Times New Roman" w:hAnsi="Times New Roman" w:cs="Times New Roman"/>
          <w:color w:val="000000"/>
          <w:sz w:val="24"/>
          <w:szCs w:val="24"/>
        </w:rPr>
        <w:t>tuoda esille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Kohtaamisen kirkko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korostaa, että seurakuntalaiset ovat täysillä valtuuksilla mukana toteuttamassa jumalanpalveluselämää.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Kohtaamisen kirkossa </w:t>
      </w:r>
      <w:r>
        <w:rPr>
          <w:rFonts w:ascii="Times New Roman" w:hAnsi="Times New Roman" w:cs="Times New Roman"/>
          <w:color w:val="000000"/>
          <w:sz w:val="24"/>
          <w:szCs w:val="24"/>
        </w:rPr>
        <w:t>seurakunta on kirkon elämän ja toiminnan perusyksikkö.</w:t>
      </w:r>
    </w:p>
    <w:p w:rsidR="00C44E65" w:rsidRDefault="00C44E65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E65" w:rsidRDefault="00C44E65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Strategia tarjoaa seurakunnille ja hiippakunnille sekä kirkon keskushallinnon yksiköille mahdollisuuden liittyä yhteisen strategian painopisteisiin ja laatia sen pohjalta omat strategiat.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Kohtaamisen kirkkoa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tehdään vuosina 2014–2015 tunnetuksi kirkon eri foorumeilla.  </w:t>
      </w: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F0" w:rsidRDefault="00C44E65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Hyväksyessään </w:t>
      </w:r>
      <w:r w:rsidRPr="00C44E65">
        <w:rPr>
          <w:rFonts w:ascii="Times New Roman" w:hAnsi="Times New Roman" w:cs="Times New Roman"/>
          <w:i/>
          <w:color w:val="000000"/>
          <w:sz w:val="24"/>
          <w:szCs w:val="24"/>
        </w:rPr>
        <w:t>Kohtaamisen kirkko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-strategian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kirkkohallitus päätti tuoda sen </w:t>
      </w:r>
      <w:r w:rsidR="00AC30F0">
        <w:rPr>
          <w:rFonts w:ascii="Times New Roman" w:hAnsi="Times New Roman" w:cs="Times New Roman"/>
          <w:color w:val="000000"/>
          <w:sz w:val="24"/>
          <w:szCs w:val="24"/>
        </w:rPr>
        <w:t>kirkolliskokoukseen keskusteltavaksi. Kirkolliskokouksen työjärjestyksen 43 §:n mukaan:</w:t>
      </w: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F0" w:rsidRDefault="00AC30F0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”Piispainkokous tai kirkkohallitus voi tehdä esityksen keskustelun käymisestä täysistunnossa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tietystä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ajankohtaisesta asiasta. Sitten kun esitys on jaettu edustajille, se pannaan pöydälle ja samalla määrätään, milloin keskustelu asiasta käydään.</w:t>
      </w:r>
      <w:r w:rsidR="00C44E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Kirkkohallituksen jäsenet voivat osallistua keskusteluun</w:t>
      </w:r>
      <w:r>
        <w:rPr>
          <w:rFonts w:ascii="Arial" w:hAnsi="Arial" w:cs="Arial"/>
          <w:i/>
          <w:iCs/>
          <w:color w:val="000000"/>
          <w:sz w:val="28"/>
          <w:szCs w:val="28"/>
        </w:rPr>
        <w:t>.”</w:t>
      </w:r>
    </w:p>
    <w:p w:rsidR="00A67B9D" w:rsidRP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67B9D" w:rsidRPr="00402319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GoBack"/>
      <w:bookmarkEnd w:id="0"/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Helsingissä 1 päivänä huhtikuuta 2014</w:t>
      </w:r>
    </w:p>
    <w:p w:rsidR="00A67B9D" w:rsidRP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P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67B9D" w:rsidRPr="00A67B9D" w:rsidRDefault="00A67B9D" w:rsidP="00A67B9D">
      <w:pPr>
        <w:autoSpaceDE w:val="0"/>
        <w:autoSpaceDN w:val="0"/>
        <w:adjustRightInd w:val="0"/>
        <w:spacing w:after="0" w:line="240" w:lineRule="auto"/>
        <w:ind w:left="130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30F0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Arkkipiispa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Kari Mäkinen</w:t>
      </w: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B9D" w:rsidRPr="00A67B9D" w:rsidRDefault="00A67B9D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Kansliapäällikkö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Jukka Keskitalo</w:t>
      </w:r>
    </w:p>
    <w:p w:rsidR="00AC30F0" w:rsidRPr="00A67B9D" w:rsidRDefault="00AC30F0" w:rsidP="00A6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30F0" w:rsidRPr="00A67B9D" w:rsidSect="00A67B9D">
      <w:headerReference w:type="default" r:id="rId7"/>
      <w:pgSz w:w="11906" w:h="16838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9D" w:rsidRDefault="00A67B9D" w:rsidP="00A67B9D">
      <w:pPr>
        <w:spacing w:after="0" w:line="240" w:lineRule="auto"/>
      </w:pPr>
      <w:r>
        <w:separator/>
      </w:r>
    </w:p>
  </w:endnote>
  <w:endnote w:type="continuationSeparator" w:id="0">
    <w:p w:rsidR="00A67B9D" w:rsidRDefault="00A67B9D" w:rsidP="00A6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9D" w:rsidRDefault="00A67B9D" w:rsidP="00A67B9D">
      <w:pPr>
        <w:spacing w:after="0" w:line="240" w:lineRule="auto"/>
      </w:pPr>
      <w:r>
        <w:separator/>
      </w:r>
    </w:p>
  </w:footnote>
  <w:footnote w:type="continuationSeparator" w:id="0">
    <w:p w:rsidR="00A67B9D" w:rsidRDefault="00A67B9D" w:rsidP="00A6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012727"/>
      <w:docPartObj>
        <w:docPartGallery w:val="Page Numbers (Top of Page)"/>
        <w:docPartUnique/>
      </w:docPartObj>
    </w:sdtPr>
    <w:sdtEndPr/>
    <w:sdtContent>
      <w:p w:rsidR="00A67B9D" w:rsidRDefault="00A67B9D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319">
          <w:rPr>
            <w:noProof/>
          </w:rPr>
          <w:t>2</w:t>
        </w:r>
        <w:r>
          <w:fldChar w:fldCharType="end"/>
        </w:r>
      </w:p>
    </w:sdtContent>
  </w:sdt>
  <w:p w:rsidR="00A67B9D" w:rsidRDefault="00A67B9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43614"/>
    <w:multiLevelType w:val="hybridMultilevel"/>
    <w:tmpl w:val="850CBB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F0"/>
    <w:rsid w:val="002B74AF"/>
    <w:rsid w:val="00322143"/>
    <w:rsid w:val="003F63FE"/>
    <w:rsid w:val="00402319"/>
    <w:rsid w:val="00470FC0"/>
    <w:rsid w:val="004B109C"/>
    <w:rsid w:val="004F5BD6"/>
    <w:rsid w:val="00573024"/>
    <w:rsid w:val="009D1DF1"/>
    <w:rsid w:val="00A67B9D"/>
    <w:rsid w:val="00AC30F0"/>
    <w:rsid w:val="00B06CB2"/>
    <w:rsid w:val="00BA3B32"/>
    <w:rsid w:val="00C44E65"/>
    <w:rsid w:val="00D540C5"/>
    <w:rsid w:val="00F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8F1F-D776-4816-97BC-AF24AD3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5BD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67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7B9D"/>
  </w:style>
  <w:style w:type="paragraph" w:styleId="Alatunniste">
    <w:name w:val="footer"/>
    <w:basedOn w:val="Normaali"/>
    <w:link w:val="AlatunnisteChar"/>
    <w:uiPriority w:val="99"/>
    <w:unhideWhenUsed/>
    <w:rsid w:val="00A67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Vartiainen Anneli</dc:creator>
  <cp:keywords/>
  <dc:description/>
  <cp:lastModifiedBy>Aarnio-Jääskeläinen Liisa (Kirkkohallitus)</cp:lastModifiedBy>
  <cp:revision>5</cp:revision>
  <dcterms:created xsi:type="dcterms:W3CDTF">2014-04-11T13:13:00Z</dcterms:created>
  <dcterms:modified xsi:type="dcterms:W3CDTF">2014-04-15T06:57:00Z</dcterms:modified>
</cp:coreProperties>
</file>